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>Информация для размещения в СМИ, на сайтах администраций муниципальных образований РБ</w:t>
      </w:r>
    </w:p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350BA1"/>
    <w:rsid w:val="00384D0D"/>
    <w:rsid w:val="00386293"/>
    <w:rsid w:val="003A2307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user193</cp:lastModifiedBy>
  <cp:revision>3</cp:revision>
  <cp:lastPrinted>2017-09-29T04:54:00Z</cp:lastPrinted>
  <dcterms:created xsi:type="dcterms:W3CDTF">2018-09-10T06:27:00Z</dcterms:created>
  <dcterms:modified xsi:type="dcterms:W3CDTF">2018-09-10T06:54:00Z</dcterms:modified>
</cp:coreProperties>
</file>