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0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EE3D57" w:rsidRPr="00EE3D57" w:rsidTr="00A92341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D57" w:rsidRPr="00EE3D57" w:rsidRDefault="00EE3D57" w:rsidP="00EE3D57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</w:rPr>
            </w:pPr>
          </w:p>
          <w:p w:rsidR="00EE3D57" w:rsidRPr="00EE3D57" w:rsidRDefault="00EE3D57" w:rsidP="00EE3D57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БАШКОРТОСТАН  РЕСПУБЛИКА</w:t>
            </w:r>
            <w:proofErr w:type="gramStart"/>
            <w:r w:rsidRPr="00EE3D57">
              <w:rPr>
                <w:rFonts w:ascii="Times New Roman" w:eastAsia="Times New Roman" w:hAnsi="Times New Roman" w:cs="Times New Roman"/>
                <w:szCs w:val="24"/>
                <w:lang w:val="en-US"/>
              </w:rPr>
              <w:t>h</w:t>
            </w:r>
            <w:proofErr w:type="gramEnd"/>
            <w:r w:rsidRPr="00EE3D57">
              <w:rPr>
                <w:rFonts w:ascii="TimBashk" w:eastAsia="Times New Roman" w:hAnsi="TimBashk" w:cs="Times New Roman"/>
                <w:szCs w:val="24"/>
              </w:rPr>
              <w:t>Ы БАЙМАК  РАЙОНЫ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МУНИЦИПАЛЬ   РАЙОНЫНЫН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Т</w:t>
            </w:r>
            <w:proofErr w:type="gramStart"/>
            <w:r w:rsidRPr="00EE3D57">
              <w:rPr>
                <w:rFonts w:ascii="Times New Roman" w:eastAsia="Times New Roman" w:hAnsi="Times New Roman" w:cs="Times New Roman"/>
                <w:szCs w:val="24"/>
                <w:lang w:val="en-US"/>
              </w:rPr>
              <w:t>Y</w:t>
            </w:r>
            <w:proofErr w:type="gramEnd"/>
            <w:r w:rsidRPr="00EE3D57">
              <w:rPr>
                <w:rFonts w:ascii="TimBashk" w:eastAsia="Times New Roman" w:hAnsi="TimBashk" w:cs="Times New Roman"/>
                <w:szCs w:val="24"/>
              </w:rPr>
              <w:t>Б</w:t>
            </w:r>
            <w:r w:rsidRPr="00EE3D57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EE3D57">
              <w:rPr>
                <w:rFonts w:ascii="TimBashk" w:eastAsia="Times New Roman" w:hAnsi="TimBashk" w:cs="Times New Roman"/>
                <w:szCs w:val="24"/>
              </w:rPr>
              <w:t xml:space="preserve">   АУЫЛ   СОВЕТЫ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АУЫЛ   БИЛ</w:t>
            </w:r>
            <w:r w:rsidRPr="00EE3D57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EE3D57">
              <w:rPr>
                <w:rFonts w:ascii="TimBashk" w:eastAsia="Times New Roman" w:hAnsi="TimBashk" w:cs="Times New Roman"/>
                <w:szCs w:val="24"/>
              </w:rPr>
              <w:t>М</w:t>
            </w:r>
            <w:r w:rsidRPr="00EE3D57">
              <w:rPr>
                <w:rFonts w:ascii="Times New Roman" w:eastAsia="Times New Roman" w:hAnsi="Times New Roman" w:cs="Times New Roman"/>
                <w:b/>
              </w:rPr>
              <w:t>Ә</w:t>
            </w:r>
            <w:proofErr w:type="gramStart"/>
            <w:r w:rsidRPr="00EE3D57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proofErr w:type="gramEnd"/>
            <w:r w:rsidRPr="00EE3D57">
              <w:rPr>
                <w:rFonts w:ascii="TimBashk" w:eastAsia="Times New Roman" w:hAnsi="TimBashk" w:cs="Times New Roman"/>
                <w:szCs w:val="24"/>
              </w:rPr>
              <w:t>Е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СОВЕТЫ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</w:rPr>
            </w:pP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453661,</w:t>
            </w:r>
            <w:r w:rsidRPr="00EE3D57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 xml:space="preserve"> Байма</w:t>
            </w:r>
            <w:r w:rsidRPr="00EE3D57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ru"/>
              </w:rPr>
              <w:t>к</w:t>
            </w:r>
            <w:r w:rsidRPr="00EE3D57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 xml:space="preserve"> районы, Т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Y</w:t>
            </w:r>
            <w:r w:rsidRPr="00EE3D57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>б</w:t>
            </w:r>
            <w:r w:rsidRPr="00EE3D57">
              <w:rPr>
                <w:rFonts w:ascii="Times New Roman Bash" w:eastAsia="Arial Unicode MS" w:hAnsi="Times New Roman Bash" w:cs="Arial Unicode MS"/>
                <w:color w:val="000000"/>
                <w:sz w:val="16"/>
                <w:szCs w:val="16"/>
                <w:lang w:val="ru"/>
              </w:rPr>
              <w:t>!</w:t>
            </w:r>
            <w:r w:rsidRPr="00EE3D57">
              <w:rPr>
                <w:rFonts w:ascii="TimBashk" w:eastAsia="Arial Unicode MS" w:hAnsi="TimBashk" w:cs="Arial Unicode MS"/>
                <w:color w:val="000000"/>
                <w:sz w:val="16"/>
                <w:szCs w:val="16"/>
                <w:lang w:val="be-BY"/>
              </w:rPr>
              <w:t xml:space="preserve"> </w:t>
            </w:r>
            <w:r w:rsidRPr="00EE3D57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>ауылы,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</w:pPr>
            <w:r w:rsidRPr="00EE3D57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>Фабрика  урамы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, 6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(34751) 4-11-76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es New Roman Bash" w:eastAsia="Arial Unicode MS" w:hAnsi="Times New Roman Bash" w:cs="Arial Unicode MS"/>
                <w:b/>
                <w:color w:val="000000"/>
                <w:sz w:val="24"/>
                <w:szCs w:val="24"/>
                <w:lang w:val="ru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E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mail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: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tubin</w:t>
            </w:r>
            <w:proofErr w:type="spellEnd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@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.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be-BY"/>
              </w:rPr>
            </w:pPr>
            <w:r w:rsidRPr="00EE3D5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6151804" wp14:editId="4246FCB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D57" w:rsidRPr="00EE3D57" w:rsidRDefault="00EE3D57" w:rsidP="00EE3D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</w:rPr>
            </w:pPr>
          </w:p>
          <w:p w:rsidR="00EE3D57" w:rsidRPr="00EE3D57" w:rsidRDefault="00EE3D57" w:rsidP="00EE3D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РЕСПУБЛИКА БАШКОРТОСТАН</w:t>
            </w:r>
          </w:p>
          <w:p w:rsidR="00EE3D57" w:rsidRPr="00EE3D57" w:rsidRDefault="00EE3D57" w:rsidP="00EE3D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СОВЕТ</w:t>
            </w:r>
          </w:p>
          <w:p w:rsidR="00EE3D57" w:rsidRPr="00EE3D57" w:rsidRDefault="00EE3D57" w:rsidP="00EE3D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</w:rPr>
            </w:pPr>
            <w:r w:rsidRPr="00EE3D57">
              <w:rPr>
                <w:rFonts w:ascii="TimBashk" w:eastAsia="Times New Roman" w:hAnsi="TimBashk" w:cs="Times New Roman"/>
                <w:szCs w:val="24"/>
              </w:rPr>
              <w:t>СЕЛЬСКОГО   ПОСЕЛЕНИЯ ТУБИНСКИЙ   СЕЛЬСОВЕТ МУНИЦИПАЛЬНОГО   РАЙОНА БАЙМАКСКИЙ  РАЙОН</w:t>
            </w:r>
          </w:p>
          <w:p w:rsidR="00EE3D57" w:rsidRPr="00EE3D57" w:rsidRDefault="00EE3D57" w:rsidP="00EE3D5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New Roman"/>
                <w:szCs w:val="24"/>
              </w:rPr>
            </w:pP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453661, Баймакский район, село Тубинский,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ул.Фабричная, 6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(34751) 4-11-76</w:t>
            </w:r>
          </w:p>
          <w:p w:rsidR="00EE3D57" w:rsidRPr="00EE3D57" w:rsidRDefault="00EE3D57" w:rsidP="00EE3D57">
            <w:pPr>
              <w:spacing w:after="0" w:line="240" w:lineRule="auto"/>
              <w:jc w:val="center"/>
              <w:rPr>
                <w:rFonts w:ascii="Times New Roman Bash" w:eastAsia="Arial Unicode MS" w:hAnsi="Times New Roman Bash" w:cs="Arial Unicode MS"/>
                <w:b/>
                <w:color w:val="000000"/>
                <w:sz w:val="24"/>
                <w:szCs w:val="24"/>
                <w:lang w:val="be-BY"/>
              </w:rPr>
            </w:pP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E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mail</w:t>
            </w:r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: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tubin</w:t>
            </w:r>
            <w:proofErr w:type="spellEnd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@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.</w:t>
            </w:r>
            <w:proofErr w:type="spellStart"/>
            <w:r w:rsidRPr="00EE3D5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E3D57" w:rsidRPr="00EE3D57" w:rsidRDefault="00EE3D57" w:rsidP="00EE3D5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</w:pPr>
      <w:r w:rsidRPr="00EE3D57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  <w:t>КАРАР                                                                    РЕШЕНИЕ</w:t>
      </w:r>
    </w:p>
    <w:p w:rsidR="00EE3D57" w:rsidRPr="00D21CFD" w:rsidRDefault="00EE3D57" w:rsidP="00D2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01 октябрь  2020</w:t>
      </w:r>
      <w:r w:rsidRPr="00EE3D57">
        <w:rPr>
          <w:rFonts w:ascii="Times New Roman" w:eastAsia="Times New Roman" w:hAnsi="Times New Roman" w:cs="Times New Roman"/>
          <w:sz w:val="28"/>
          <w:szCs w:val="28"/>
        </w:rPr>
        <w:t xml:space="preserve"> й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 45</w:t>
      </w:r>
      <w:r w:rsidRPr="00EE3D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01 октября  2020 г</w:t>
      </w:r>
    </w:p>
    <w:p w:rsidR="00EE3D57" w:rsidRDefault="00EE3D57" w:rsidP="00EC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B12758" w:rsidRDefault="00EE3D57" w:rsidP="00F2218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Тубинский</w:t>
      </w:r>
      <w:r w:rsidR="00BD7601" w:rsidRPr="00B12758">
        <w:rPr>
          <w:b/>
          <w:sz w:val="28"/>
          <w:szCs w:val="28"/>
        </w:rPr>
        <w:t xml:space="preserve">  </w:t>
      </w:r>
      <w:r w:rsidR="00F2218D" w:rsidRPr="00B12758">
        <w:rPr>
          <w:b/>
          <w:sz w:val="28"/>
          <w:szCs w:val="28"/>
        </w:rPr>
        <w:t xml:space="preserve">сельсовет муниципального района </w:t>
      </w:r>
      <w:r w:rsidR="00AD3AA9">
        <w:rPr>
          <w:b/>
          <w:sz w:val="28"/>
          <w:szCs w:val="28"/>
        </w:rPr>
        <w:t>Баймакский</w:t>
      </w:r>
      <w:r w:rsidR="00F2218D" w:rsidRPr="00B12758">
        <w:rPr>
          <w:b/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AD3AA9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8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 w:rsidR="00EE3D57">
        <w:rPr>
          <w:sz w:val="28"/>
          <w:szCs w:val="28"/>
        </w:rPr>
        <w:t>Тубинский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EE3D57">
        <w:rPr>
          <w:sz w:val="28"/>
          <w:szCs w:val="28"/>
        </w:rPr>
        <w:t>Тубинский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</w:p>
    <w:p w:rsidR="00F2218D" w:rsidRPr="00B12758" w:rsidRDefault="00F2218D" w:rsidP="00B12758">
      <w:pPr>
        <w:pStyle w:val="ConsPlusNormal"/>
        <w:ind w:firstLine="709"/>
        <w:jc w:val="center"/>
        <w:rPr>
          <w:sz w:val="28"/>
          <w:szCs w:val="28"/>
        </w:rPr>
      </w:pPr>
      <w:r w:rsidRPr="00B12758">
        <w:rPr>
          <w:sz w:val="28"/>
          <w:szCs w:val="28"/>
        </w:rPr>
        <w:t>РЕШИЛ:</w:t>
      </w:r>
    </w:p>
    <w:p w:rsidR="00E02EB2" w:rsidRPr="00B12758" w:rsidRDefault="00E02EB2" w:rsidP="00F2218D">
      <w:pPr>
        <w:pStyle w:val="ConsPlusNormal"/>
        <w:ind w:firstLine="709"/>
        <w:rPr>
          <w:sz w:val="28"/>
          <w:szCs w:val="28"/>
        </w:rPr>
      </w:pPr>
    </w:p>
    <w:p w:rsidR="00F2218D" w:rsidRPr="00B12758" w:rsidRDefault="00F2218D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1. 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 w:rsidR="00EE3D57">
        <w:rPr>
          <w:sz w:val="28"/>
          <w:szCs w:val="28"/>
        </w:rPr>
        <w:t>Тубинский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2. Утвердить порядок рассмотрения кандидатур на должности председателя и заместителя председателя контрольно-счетной палаты сельского поселения </w:t>
      </w:r>
      <w:r w:rsidR="00EE3D57">
        <w:rPr>
          <w:sz w:val="28"/>
          <w:szCs w:val="28"/>
        </w:rPr>
        <w:t>Тубинский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F2218D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>3</w:t>
      </w:r>
      <w:r w:rsidR="00F2218D" w:rsidRPr="00B12758">
        <w:rPr>
          <w:sz w:val="28"/>
          <w:szCs w:val="28"/>
        </w:rPr>
        <w:t xml:space="preserve">. Настоящее решение разместить на официальном сайте Администрации сельского поселения </w:t>
      </w:r>
      <w:r w:rsidR="00EE3D57">
        <w:rPr>
          <w:sz w:val="28"/>
          <w:szCs w:val="28"/>
        </w:rPr>
        <w:t>Тубинский</w:t>
      </w:r>
      <w:r w:rsidR="00BD7601" w:rsidRPr="00B12758">
        <w:rPr>
          <w:sz w:val="28"/>
          <w:szCs w:val="28"/>
        </w:rPr>
        <w:t xml:space="preserve">  </w:t>
      </w:r>
      <w:r w:rsidR="00F2218D" w:rsidRPr="00B12758">
        <w:rPr>
          <w:sz w:val="28"/>
          <w:szCs w:val="28"/>
        </w:rPr>
        <w:t xml:space="preserve">сельсовет муниципального района  </w:t>
      </w:r>
      <w:r w:rsidR="00AD3AA9">
        <w:rPr>
          <w:sz w:val="28"/>
          <w:szCs w:val="28"/>
        </w:rPr>
        <w:t>Баймакский</w:t>
      </w:r>
      <w:r w:rsidR="00F2218D" w:rsidRPr="00B12758">
        <w:rPr>
          <w:sz w:val="28"/>
          <w:szCs w:val="28"/>
        </w:rPr>
        <w:t xml:space="preserve"> район Республики Башкортостан.</w:t>
      </w:r>
      <w:r w:rsidRPr="00B12758">
        <w:rPr>
          <w:sz w:val="28"/>
          <w:szCs w:val="28"/>
        </w:rPr>
        <w:t xml:space="preserve"> </w:t>
      </w:r>
    </w:p>
    <w:p w:rsidR="00F2218D" w:rsidRDefault="00F2218D" w:rsidP="00E02EB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758">
        <w:rPr>
          <w:rFonts w:ascii="Times New Roman" w:hAnsi="Times New Roman" w:cs="Times New Roman"/>
          <w:sz w:val="28"/>
          <w:szCs w:val="28"/>
        </w:rPr>
        <w:t xml:space="preserve">  </w:t>
      </w:r>
      <w:r w:rsidR="00E02EB2" w:rsidRPr="00B12758">
        <w:rPr>
          <w:rFonts w:ascii="Times New Roman" w:hAnsi="Times New Roman" w:cs="Times New Roman"/>
          <w:sz w:val="28"/>
          <w:szCs w:val="28"/>
        </w:rPr>
        <w:t>4</w:t>
      </w:r>
      <w:r w:rsidRPr="00B12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75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  <w:r w:rsidRPr="00B127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1CFD" w:rsidRPr="00B12758" w:rsidRDefault="00D21CFD" w:rsidP="00E02EB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CFD" w:rsidRDefault="00D21CFD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601" w:rsidRPr="00B12758" w:rsidRDefault="00BD7601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EE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D9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3D57">
        <w:rPr>
          <w:rFonts w:ascii="Times New Roman" w:eastAsia="Times New Roman" w:hAnsi="Times New Roman" w:cs="Times New Roman"/>
          <w:sz w:val="28"/>
          <w:szCs w:val="28"/>
        </w:rPr>
        <w:t>А.С. Халитова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09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3D9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3D9D" w:rsidRDefault="005742E4" w:rsidP="00D21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3D57">
        <w:rPr>
          <w:rFonts w:ascii="Times New Roman" w:eastAsia="Times New Roman" w:hAnsi="Times New Roman" w:cs="Times New Roman"/>
          <w:sz w:val="24"/>
          <w:szCs w:val="24"/>
        </w:rPr>
        <w:t>01.10.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г. № </w:t>
      </w:r>
      <w:r w:rsidR="00EE3D57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о Контрольно-счетной  палате сельского поселения</w:t>
      </w:r>
      <w:r w:rsidR="00EE3D5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Тубинский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BD7601">
        <w:rPr>
          <w:rFonts w:ascii="Arial" w:hAnsi="Arial" w:cs="Arial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AD3AA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Баймакский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 и определяет наименование, полномочия, состав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порядок деятельности контрольно-счетной палаты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который образуется Советом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0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0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Тубинский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 заседаниях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образования, администрации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 и главе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1.11. иные полномочия в сфере внешнего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2" w:name="sub_102"/>
      <w:bookmarkEnd w:id="1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"/>
      <w:bookmarkEnd w:id="2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3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EE3D57" w:rsidRP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4" w:name="_GoBack"/>
      <w:bookmarkEnd w:id="4"/>
    </w:p>
    <w:p w:rsidR="00EE3D57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EE3D57" w:rsidRDefault="00EE3D57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E3D57" w:rsidRDefault="00EE3D57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EE3D57">
        <w:rPr>
          <w:rFonts w:ascii="Times New Roman" w:eastAsia="Times New Roman" w:hAnsi="Times New Roman" w:cs="Times New Roman"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D67ABF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3D57">
        <w:rPr>
          <w:rFonts w:ascii="Times New Roman" w:eastAsia="Times New Roman" w:hAnsi="Times New Roman" w:cs="Times New Roman"/>
          <w:sz w:val="24"/>
          <w:szCs w:val="24"/>
        </w:rPr>
        <w:t>01.10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>2020 г. №</w:t>
      </w:r>
      <w:r w:rsidR="00EE3D57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r w:rsidR="00EE3D5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D3AA9"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0830A5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EE3D57" w:rsidRPr="00EE3D57">
        <w:rPr>
          <w:rFonts w:ascii="Times New Roman" w:eastAsia="Times New Roman" w:hAnsi="Times New Roman" w:cs="Times New Roman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EE3D57" w:rsidRPr="00EE3D57">
        <w:rPr>
          <w:rFonts w:ascii="Times New Roman" w:eastAsia="Times New Roman" w:hAnsi="Times New Roman" w:cs="Times New Roman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r w:rsidR="00EE3D57" w:rsidRPr="00EE3D57">
        <w:rPr>
          <w:rFonts w:ascii="Times New Roman" w:eastAsia="Times New Roman" w:hAnsi="Times New Roman" w:cs="Times New Roman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</w:t>
      </w:r>
      <w:r w:rsidR="00593D9D">
        <w:rPr>
          <w:rFonts w:ascii="Times New Roman" w:eastAsia="Times New Roman" w:hAnsi="Times New Roman" w:cs="Times New Roman"/>
          <w:sz w:val="24"/>
          <w:szCs w:val="24"/>
        </w:rPr>
        <w:t xml:space="preserve">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контрольно-счетной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EE3D57" w:rsidRPr="00EE3D57">
        <w:rPr>
          <w:rFonts w:ascii="Times New Roman" w:eastAsia="Times New Roman" w:hAnsi="Times New Roman" w:cs="Times New Roman"/>
          <w:sz w:val="24"/>
          <w:szCs w:val="24"/>
        </w:rPr>
        <w:t>Тубинский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EE3D57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9"/>
    <w:rsid w:val="000662E6"/>
    <w:rsid w:val="000830A5"/>
    <w:rsid w:val="000E5737"/>
    <w:rsid w:val="001E01C4"/>
    <w:rsid w:val="001E57CE"/>
    <w:rsid w:val="002B4DC0"/>
    <w:rsid w:val="002C6739"/>
    <w:rsid w:val="003536C0"/>
    <w:rsid w:val="00427DFB"/>
    <w:rsid w:val="00490526"/>
    <w:rsid w:val="004C68AD"/>
    <w:rsid w:val="004E2E97"/>
    <w:rsid w:val="004E7B8C"/>
    <w:rsid w:val="004F5937"/>
    <w:rsid w:val="0057043A"/>
    <w:rsid w:val="005742E4"/>
    <w:rsid w:val="00593D9D"/>
    <w:rsid w:val="005F1655"/>
    <w:rsid w:val="00651AD6"/>
    <w:rsid w:val="00652C2D"/>
    <w:rsid w:val="006D6BFF"/>
    <w:rsid w:val="007926CC"/>
    <w:rsid w:val="008266B5"/>
    <w:rsid w:val="00852DA4"/>
    <w:rsid w:val="008A66E6"/>
    <w:rsid w:val="008C1BC5"/>
    <w:rsid w:val="008E30E0"/>
    <w:rsid w:val="009931D9"/>
    <w:rsid w:val="00AC1251"/>
    <w:rsid w:val="00AD0EE7"/>
    <w:rsid w:val="00AD3AA9"/>
    <w:rsid w:val="00B054C4"/>
    <w:rsid w:val="00B11D0D"/>
    <w:rsid w:val="00B12758"/>
    <w:rsid w:val="00B8098B"/>
    <w:rsid w:val="00BB22AA"/>
    <w:rsid w:val="00BD3200"/>
    <w:rsid w:val="00BD7601"/>
    <w:rsid w:val="00D20130"/>
    <w:rsid w:val="00D21CFD"/>
    <w:rsid w:val="00D60289"/>
    <w:rsid w:val="00D67ABF"/>
    <w:rsid w:val="00E02EB2"/>
    <w:rsid w:val="00E521A9"/>
    <w:rsid w:val="00E86DCA"/>
    <w:rsid w:val="00E95446"/>
    <w:rsid w:val="00EA75CF"/>
    <w:rsid w:val="00EC2FC1"/>
    <w:rsid w:val="00EE3D57"/>
    <w:rsid w:val="00EF720B"/>
    <w:rsid w:val="00F2218D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D7B30F9EB74529486F5B207DF1BD29158134B13E072907643448BA5F367DD1785A42C2A3A84CF6FC23E6F8x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5E-708D-46B6-9CF6-B041D72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2020-05-03T07:44:00Z</cp:lastPrinted>
  <dcterms:created xsi:type="dcterms:W3CDTF">2020-10-02T11:43:00Z</dcterms:created>
  <dcterms:modified xsi:type="dcterms:W3CDTF">2020-10-02T11:43:00Z</dcterms:modified>
</cp:coreProperties>
</file>